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6B3C8" w14:textId="01705C8C" w:rsidR="00A034A7" w:rsidRDefault="00543CA0">
      <w:hyperlink r:id="rId4" w:history="1">
        <w:r w:rsidRPr="00182C45">
          <w:rPr>
            <w:rStyle w:val="Kpr"/>
          </w:rPr>
          <w:t>https://cdn.eba.gov.tr/icerik/365GunOyku/181/</w:t>
        </w:r>
      </w:hyperlink>
    </w:p>
    <w:p w14:paraId="16F963B1" w14:textId="77777777" w:rsidR="00543CA0" w:rsidRDefault="00543CA0"/>
    <w:sectPr w:rsidR="00543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4B2"/>
    <w:rsid w:val="00543CA0"/>
    <w:rsid w:val="009B74B2"/>
    <w:rsid w:val="00A0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0BF72"/>
  <w15:chartTrackingRefBased/>
  <w15:docId w15:val="{FE624797-7915-42E7-AC20-FF3A783E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43CA0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43C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dn.eba.gov.tr/icerik/365GunOyku/181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2</cp:revision>
  <dcterms:created xsi:type="dcterms:W3CDTF">2024-10-27T07:00:00Z</dcterms:created>
  <dcterms:modified xsi:type="dcterms:W3CDTF">2024-10-27T07:00:00Z</dcterms:modified>
</cp:coreProperties>
</file>